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C" w:rsidRPr="000C33E5" w:rsidRDefault="00564BCC" w:rsidP="00564BCC">
      <w:pPr>
        <w:rPr>
          <w:rFonts w:ascii="Times New Roman" w:hAnsi="Times New Roman" w:cs="Times New Roman"/>
          <w:b/>
          <w:lang w:val="en-US"/>
        </w:rPr>
      </w:pPr>
      <w:r w:rsidRPr="002E1557">
        <w:rPr>
          <w:rFonts w:ascii="Times New Roman" w:hAnsi="Times New Roman" w:cs="Times New Roman"/>
          <w:b/>
          <w:lang w:val="en-US"/>
        </w:rPr>
        <w:t xml:space="preserve">UDC </w:t>
      </w:r>
      <w:r w:rsidR="000C33E5" w:rsidRPr="000C33E5">
        <w:rPr>
          <w:rFonts w:ascii="Times New Roman" w:hAnsi="Times New Roman" w:cs="Times New Roman"/>
          <w:b/>
          <w:lang w:val="uk-UA"/>
        </w:rPr>
        <w:t>636.</w:t>
      </w:r>
      <w:bookmarkStart w:id="0" w:name="_GoBack"/>
      <w:bookmarkEnd w:id="0"/>
      <w:r w:rsidR="000C33E5" w:rsidRPr="000C33E5">
        <w:rPr>
          <w:rFonts w:ascii="Times New Roman" w:hAnsi="Times New Roman" w:cs="Times New Roman"/>
          <w:b/>
          <w:lang w:val="uk-UA"/>
        </w:rPr>
        <w:t>09:614.95(477.7)</w:t>
      </w:r>
    </w:p>
    <w:p w:rsidR="000C33E5" w:rsidRPr="000C33E5" w:rsidRDefault="000C33E5" w:rsidP="000C33E5">
      <w:pPr>
        <w:jc w:val="center"/>
        <w:rPr>
          <w:rFonts w:ascii="Times New Roman" w:hAnsi="Times New Roman" w:cs="Times New Roman"/>
          <w:b/>
          <w:lang w:val="en-US"/>
        </w:rPr>
      </w:pPr>
      <w:r w:rsidRPr="000C33E5">
        <w:rPr>
          <w:rFonts w:ascii="Times New Roman" w:hAnsi="Times New Roman" w:cs="Times New Roman"/>
          <w:b/>
          <w:lang w:val="en-US"/>
        </w:rPr>
        <w:t>HYGIENIC ASSESSMENT OF THE QUALITY AND SAFETY OF FODDER IN THE SOUTHERN REGION OF UKRAINE</w:t>
      </w:r>
    </w:p>
    <w:p w:rsidR="009A4E40" w:rsidRPr="000C33E5" w:rsidRDefault="009A4E40" w:rsidP="009A4E40">
      <w:pPr>
        <w:spacing w:after="0" w:line="240" w:lineRule="auto"/>
        <w:rPr>
          <w:rFonts w:ascii="Times New Roman" w:hAnsi="Times New Roman" w:cs="Times New Roman"/>
          <w:iCs/>
          <w:lang w:val="en-US"/>
        </w:rPr>
      </w:pPr>
    </w:p>
    <w:p w:rsidR="00A332A7" w:rsidRPr="00A332A7" w:rsidRDefault="00A332A7" w:rsidP="00A332A7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val="uk-UA" w:eastAsia="zh-CN"/>
        </w:rPr>
      </w:pPr>
      <w:proofErr w:type="spellStart"/>
      <w:r w:rsidRPr="00A332A7">
        <w:rPr>
          <w:rFonts w:ascii="Times New Roman" w:eastAsia="SimSun" w:hAnsi="Times New Roman" w:cs="Times New Roman"/>
          <w:b/>
          <w:bCs/>
          <w:lang w:val="uk-UA" w:eastAsia="zh-CN"/>
        </w:rPr>
        <w:t>Krasnikov</w:t>
      </w:r>
      <w:proofErr w:type="spellEnd"/>
      <w:r w:rsidRPr="00A332A7">
        <w:rPr>
          <w:rFonts w:ascii="Times New Roman" w:eastAsia="SimSun" w:hAnsi="Times New Roman" w:cs="Times New Roman"/>
          <w:b/>
          <w:bCs/>
          <w:lang w:val="uk-UA" w:eastAsia="zh-CN"/>
        </w:rPr>
        <w:t xml:space="preserve"> S., </w:t>
      </w:r>
      <w:proofErr w:type="spellStart"/>
      <w:r w:rsidRPr="00A332A7">
        <w:rPr>
          <w:rFonts w:ascii="Times New Roman" w:eastAsia="SimSun" w:hAnsi="Times New Roman" w:cs="Times New Roman"/>
          <w:b/>
          <w:bCs/>
          <w:lang w:val="uk-UA" w:eastAsia="zh-CN"/>
        </w:rPr>
        <w:t>Tarasenko</w:t>
      </w:r>
      <w:proofErr w:type="spellEnd"/>
      <w:r w:rsidRPr="00A332A7">
        <w:rPr>
          <w:rFonts w:ascii="Times New Roman" w:eastAsia="SimSun" w:hAnsi="Times New Roman" w:cs="Times New Roman"/>
          <w:b/>
          <w:bCs/>
          <w:lang w:val="uk-UA" w:eastAsia="zh-CN"/>
        </w:rPr>
        <w:t xml:space="preserve"> L.,</w:t>
      </w:r>
      <w:r w:rsidRPr="00A332A7">
        <w:rPr>
          <w:rFonts w:ascii="Times New Roman" w:eastAsia="SimSun" w:hAnsi="Times New Roman" w:cs="Times New Roman"/>
          <w:b/>
          <w:lang w:val="en-US" w:eastAsia="zh-CN"/>
        </w:rPr>
        <w:t xml:space="preserve"> </w:t>
      </w:r>
      <w:proofErr w:type="spellStart"/>
      <w:r w:rsidRPr="00A332A7">
        <w:rPr>
          <w:rFonts w:ascii="Times New Roman" w:eastAsia="SimSun" w:hAnsi="Times New Roman" w:cs="Times New Roman"/>
          <w:b/>
          <w:lang w:val="en-US" w:eastAsia="zh-CN"/>
        </w:rPr>
        <w:t>Rud</w:t>
      </w:r>
      <w:proofErr w:type="spellEnd"/>
      <w:r w:rsidRPr="00A332A7">
        <w:rPr>
          <w:rFonts w:ascii="Times New Roman" w:eastAsia="SimSun" w:hAnsi="Times New Roman" w:cs="Times New Roman"/>
          <w:b/>
          <w:lang w:val="en-US" w:eastAsia="zh-CN"/>
        </w:rPr>
        <w:t xml:space="preserve"> V</w:t>
      </w:r>
      <w:r w:rsidRPr="00A332A7">
        <w:rPr>
          <w:rFonts w:ascii="Times New Roman" w:eastAsia="SimSun" w:hAnsi="Times New Roman" w:cs="Times New Roman"/>
          <w:b/>
          <w:lang w:val="uk-UA" w:eastAsia="zh-CN"/>
        </w:rPr>
        <w:t xml:space="preserve">., </w:t>
      </w:r>
      <w:proofErr w:type="spellStart"/>
      <w:r w:rsidRPr="00A332A7">
        <w:rPr>
          <w:rFonts w:ascii="Times New Roman" w:eastAsia="SimSun" w:hAnsi="Times New Roman" w:cs="Times New Roman"/>
          <w:b/>
          <w:lang w:val="uk-UA" w:eastAsia="zh-CN"/>
        </w:rPr>
        <w:t>Stavynskyi</w:t>
      </w:r>
      <w:proofErr w:type="spellEnd"/>
      <w:r w:rsidRPr="00A332A7">
        <w:rPr>
          <w:rFonts w:ascii="Times New Roman" w:eastAsia="SimSun" w:hAnsi="Times New Roman" w:cs="Times New Roman"/>
          <w:b/>
          <w:lang w:val="uk-UA" w:eastAsia="zh-CN"/>
        </w:rPr>
        <w:t xml:space="preserve"> V.</w:t>
      </w:r>
    </w:p>
    <w:p w:rsidR="00155D25" w:rsidRPr="00C672E8" w:rsidRDefault="00155D25" w:rsidP="00155D25">
      <w:pPr>
        <w:pStyle w:val="a8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</w:p>
    <w:p w:rsidR="000C33E5" w:rsidRPr="002341E9" w:rsidRDefault="000C33E5" w:rsidP="000C33E5">
      <w:pPr>
        <w:shd w:val="clear" w:color="auto" w:fill="FFFFFF"/>
        <w:spacing w:after="0"/>
        <w:ind w:firstLineChars="100" w:firstLine="220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2341E9">
        <w:rPr>
          <w:rFonts w:ascii="Times New Roman" w:hAnsi="Times New Roman" w:cs="Times New Roman"/>
          <w:b/>
          <w:bCs/>
        </w:rPr>
        <w:t>References</w:t>
      </w:r>
      <w:proofErr w:type="spellEnd"/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Antipina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 O.,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Borta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A. V.,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Lyashan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G. G.,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Vereshchynskyi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 P.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Technological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expertise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wheat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grain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storage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process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a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tool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quality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assurance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Scientific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Works, 83(2), 2019. 65-70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Bilai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V.I.,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Koval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E.Z.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Aspergillus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: a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key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genus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Kyiv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Naukova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Dumka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1988. 204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Bilash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K.,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Yefimov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V.,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Yakunina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L.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Сontamination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maize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wheat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barley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(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according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2017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data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).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Theoretical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Applied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Veterinary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Medicine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 6(2), 2018. 25-29 </w:t>
      </w:r>
      <w:r w:rsidRPr="000C33E5">
        <w:rPr>
          <w:rFonts w:ascii="Times New Roman" w:eastAsia="Times" w:hAnsi="Times New Roman" w:cs="Times New Roman"/>
          <w:color w:val="000000"/>
          <w:shd w:val="clear" w:color="auto" w:fill="FFFFFF"/>
          <w:lang w:val="en-US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Retrieved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from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hyperlink r:id="rId7" w:history="1">
        <w:r w:rsidRPr="002341E9">
          <w:rPr>
            <w:rFonts w:ascii="Times New Roman" w:eastAsia="Times" w:hAnsi="Times New Roman" w:cs="Times New Roman"/>
            <w:color w:val="000000"/>
            <w:shd w:val="clear" w:color="auto" w:fill="FFFFFF"/>
            <w:lang w:val="uk-UA"/>
          </w:rPr>
          <w:t>https://bulletin-biosafety.com/index.php/journal/article/view/176.</w:t>
        </w:r>
      </w:hyperlink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Brodal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G.,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Aamot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H. U.,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Almvik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M.,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Hofgaard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I. S.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Removal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small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kernels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reduces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content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Fusarium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oat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grain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 12(5), 2020. 346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Chornolata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L.P.,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Hutsol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N.V.,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Mysenko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O.O.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cereal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grains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need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their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control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Publishing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House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"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Baltija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Publishing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", 2021. 266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Chernolata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L. P.,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Pogorela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L. G.,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Likhach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S. M.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Comparative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analysis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content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cereal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grains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Feed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feed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production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2021. 173-180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GOST 26570-95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Feeds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compound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feeds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Methods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determination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calcium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DSTU ISO 6491:2004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Animal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feed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Determination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phosphorus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content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Spectrometric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method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DSTU ISO 13690:2003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Cereals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pulses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products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their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grinding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Sampling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(ISO 13690:1999, IDT).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DSTU 3768:2019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Wheat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Technical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conditions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DSTU 2708-94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Metrology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Verification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measuring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instruments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Organization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procedure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conducting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DSTU ISO/IEC 17025:2006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General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requirements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competence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testing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calibration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laboratories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Dubinina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A. A,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Lenert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S. O,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Letuta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T. M,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Nepochatykh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T. A,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Shcherbakova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I. S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plant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raw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materials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Progressive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techniques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technologies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food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production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restaurant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business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trade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Iss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1(29), 2019. 215-228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hyperlink r:id="rId8" w:history="1">
        <w:r w:rsidRPr="002341E9">
          <w:rPr>
            <w:rFonts w:ascii="Times New Roman" w:eastAsia="Times" w:hAnsi="Times New Roman" w:cs="Times New Roman"/>
            <w:color w:val="000000"/>
            <w:shd w:val="clear" w:color="auto" w:fill="FFFFFF"/>
            <w:lang w:val="uk-UA"/>
          </w:rPr>
          <w:t>https://repo.btu.kharkov.ua//handle/123456789/316.</w:t>
        </w:r>
      </w:hyperlink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Gruber-Dorninger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C.,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Jenkins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T.,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Schatzmayr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G.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Global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occurrence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feed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: A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ten-year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survey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 11(7), 2019. 375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Gurikar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C.,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Shivaprasad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D. P.,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Sabillón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L.,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Gowda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N. N.,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Siliveru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K.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Impact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their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metabolites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associated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with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food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grains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Grain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&amp;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Oil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Science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Technology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 6(1), 2023. 1-9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Ivanitsky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M. E.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Histological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characteristics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mycotoxicosis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pigs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Bulletin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Agrarian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Science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2004. 33-35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Kaminska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 V.,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Marchenko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T. V.,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Kyryk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M. M.,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Shevchenko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L. V.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Seasonal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dynamics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accumulation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corn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grain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Biological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resources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nature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management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12(1-2), 2020. 47-55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Khitska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 A.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Control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aflotoxin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content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food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products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scientific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practical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conference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scientific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pedagogical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workers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2022. 171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Kutsan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Orobchenko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Yaroshenko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M.,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Herilovych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I.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Assessment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degree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contamination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with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micromycetes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feed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livestock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industry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Ukraine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recent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years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Bulletin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Agrarian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Science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98(2), 2020. 52-57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Leslie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J. F,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Moretti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A.,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Mesterházy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Á.,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Ameye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M.,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Audenaert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K.,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Singh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P. K,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Logrieco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A. F.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Key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global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actions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management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wheat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other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small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grains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 , 13 (10), 2021. 725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Lyshenko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M. O.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Features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development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world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grain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market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/ m. O.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Lyshenko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//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Materials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international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scientific-practical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conference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"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marketing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provision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product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market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."  №9, 2017. 84-86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Matumba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L.,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Namaumbo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S.,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Ngoma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T.,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Meleke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N.,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Boevre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M.,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Logrieco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A. F.,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Saeger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S.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Five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keys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prevention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control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grains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: A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proposal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Global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Food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Security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, 30,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 xml:space="preserve">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2021. 100562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Melnyk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O.V.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Monitoring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studies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fodder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presence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fungi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genus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Aspergillus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Bulletin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Poltava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State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Agrarian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Academy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No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3, 2011. 174-177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lastRenderedPageBreak/>
        <w:t>Mir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S. A,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Dar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B. N,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Shah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M. A,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Sofi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S. A,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Hamdani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A. M,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Oliveira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C. A,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Sant'Ana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A. S.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Application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new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technology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decontamination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cereal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grains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Challenges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і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perspectives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Food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Chemical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Toxicology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 , 148 , 2021. 111976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Mielniczuk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E.,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Skwaryło-Bednarz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B.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Fusarium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head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blight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strategies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their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reduction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Agronomy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 10(4), 2020. 509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Nahm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K. H.,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Karasawa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Y. A. </w:t>
      </w:r>
      <w:r w:rsidRPr="000C33E5">
        <w:rPr>
          <w:rFonts w:ascii="Times New Roman" w:eastAsia="Times" w:hAnsi="Times New Roman" w:cs="Times New Roman"/>
          <w:color w:val="000000"/>
          <w:shd w:val="clear" w:color="auto" w:fill="FFFFFF"/>
          <w:lang w:val="en-US"/>
        </w:rPr>
        <w:t>S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tudy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detoxification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chick`s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body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aflotoxin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foundin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feed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Korean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J.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animal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sciense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Vol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32, 1990. 393-399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Nikolayenko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T. M.,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Ivashchenko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M. O.,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Ivashchenko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N. V.,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Mekhed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 B.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Biochemical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parameters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blood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laboratory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animals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under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influence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T2, 2023. 276-277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Opara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V. O.,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Bazurin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 A.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Comprehensive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protection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feed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from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damage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12th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International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scientific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practical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conference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"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Scientific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research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modern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world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" (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September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21-23, 2023)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Perfect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Publishing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Toronto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Canada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, 2023. 450 p. (p. 37).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Ostrovsky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D. M.,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Kornienko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L. E.,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Andriychuk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A. V.,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Zotsenko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V. M.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Micromycetes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wheat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grain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Ukraine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Scientific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Bulletin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Veterinary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Medicine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(1), 2018. 116-122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Ostry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V.,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Malir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F.,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Toman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J.,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Grosse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Y.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human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carcinogens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—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IARC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Monographs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classification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research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 33, 2017. 65-73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Pleadin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J.,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Frece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J.,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Markov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K.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food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feed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Advances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food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nutrition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research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 89, 2019. 297-345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Reshetnichenko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O.P.,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Sorokivska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O.S.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Mycotoxicological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evaluation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feed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young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pigs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Program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Committee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2022. 126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Romaniuk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V.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Photosynthetic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productivity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spring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barley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conditions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Right-Bank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Forest-Steppe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Bulletin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Agrarian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Science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97(3), 2019. 76-81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Ruda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M.E.,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Vasyanovych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O.M.,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Sapeyko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V.P.,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Yangel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Y.A.,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Levchenko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Z.A.,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Kaminska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O.V. A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case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Fusarium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toxicosis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among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pigs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Veterinary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Biotechnology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(35), 2019. 129-134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Sidyakina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O.V.,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Ivanov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O.O.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Current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state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prospects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corn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grain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production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2023. 225-234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Schaarschmidt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S.,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Fauhl‐Hassek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C. (2018).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fate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during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processing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wheat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human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consumption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Comprehensive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Reviews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Food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Science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Food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Safety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 17(3), 2018. 556-593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Schaarschmidt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S.,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Fauhl-Hassek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C.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fate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during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primary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food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processing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maize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Food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Control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 121, 2021. 107651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Titarenko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: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how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avoid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problems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Livestock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veterinary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medicine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№ 11, 2019. 46-49 </w:t>
      </w:r>
      <w:r w:rsidRPr="000C33E5">
        <w:rPr>
          <w:rFonts w:ascii="Times New Roman" w:eastAsia="Times" w:hAnsi="Times New Roman" w:cs="Times New Roman"/>
          <w:color w:val="000000"/>
          <w:shd w:val="clear" w:color="auto" w:fill="FFFFFF"/>
          <w:lang w:val="en-US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Tsvilikhovsky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V.I.,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Laposha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O.A.,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Belotskaya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A.V.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state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safety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feed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feed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raw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materials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according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indicators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contamination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livestock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farms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Ukraine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Animal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Biology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vol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12,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no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1, 2010. 145-150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Ushkalov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V.,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Danchuk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V.,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Midyk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S.,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Voloshchuk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N.,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Danchuk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milk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dairy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products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Food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Science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Technology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14(3), 2020. 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Y.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Luo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, X.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Liu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, J. 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Li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Updating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techniques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controlling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mycotoxins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-A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review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Food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Control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 89 (2018), 123-132 </w:t>
      </w:r>
      <w:r w:rsidRPr="000C33E5">
        <w:rPr>
          <w:rFonts w:ascii="Times New Roman" w:eastAsia="Times" w:hAnsi="Times New Roman" w:cs="Times New Roman"/>
          <w:color w:val="000000"/>
          <w:shd w:val="clear" w:color="auto" w:fill="FFFFFF"/>
          <w:lang w:val="en-US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hAnsi="Times New Roman" w:cs="Times New Roman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Yaroshenko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M.O.,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Shevtsova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G.M.,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Balym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Y.P.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Monitoring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contaminants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biotic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origin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feed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for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farm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animals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the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North-Eastern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region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of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Ukraine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2012.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Veterinary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medicine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2013.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Issue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97. 500-502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</w:p>
    <w:p w:rsidR="000C33E5" w:rsidRPr="002341E9" w:rsidRDefault="000C33E5" w:rsidP="000C33E5">
      <w:pPr>
        <w:numPr>
          <w:ilvl w:val="0"/>
          <w:numId w:val="3"/>
        </w:numPr>
        <w:spacing w:after="0" w:line="240" w:lineRule="auto"/>
        <w:ind w:left="0" w:firstLineChars="100" w:firstLine="220"/>
        <w:jc w:val="both"/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</w:pP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Zinchenko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O.I.,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Salatenko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V.N.,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Bilonozhko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M.A.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Plant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growing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: a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textbook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.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Kyiv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: K.: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Agrarian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 </w:t>
      </w:r>
      <w:proofErr w:type="spellStart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Education</w:t>
      </w:r>
      <w:proofErr w:type="spellEnd"/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 xml:space="preserve">, 2001. 591 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</w:rPr>
        <w:t>p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t>.</w:t>
      </w:r>
      <w:r w:rsidRPr="002341E9">
        <w:rPr>
          <w:rFonts w:ascii="Times New Roman" w:eastAsia="Times" w:hAnsi="Times New Roman" w:cs="Times New Roman"/>
          <w:color w:val="000000"/>
          <w:shd w:val="clear" w:color="auto" w:fill="FFFFFF"/>
          <w:lang w:val="uk-UA"/>
        </w:rPr>
        <w:br/>
      </w:r>
    </w:p>
    <w:p w:rsidR="000C33E5" w:rsidRPr="002341E9" w:rsidRDefault="000C33E5" w:rsidP="000C33E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0C33E5" w:rsidRPr="002341E9" w:rsidRDefault="000C33E5" w:rsidP="000C33E5">
      <w:pPr>
        <w:spacing w:after="0"/>
        <w:rPr>
          <w:rFonts w:ascii="Times New Roman" w:eastAsia="SimSun" w:hAnsi="Times New Roman" w:cs="Times New Roman"/>
          <w:color w:val="000000"/>
          <w:lang w:val="uk-UA"/>
        </w:rPr>
      </w:pPr>
    </w:p>
    <w:p w:rsidR="000C33E5" w:rsidRPr="002341E9" w:rsidRDefault="000C33E5" w:rsidP="000C33E5">
      <w:pPr>
        <w:spacing w:after="0"/>
        <w:rPr>
          <w:rFonts w:ascii="Times New Roman" w:eastAsia="SimSun" w:hAnsi="Times New Roman" w:cs="Times New Roman"/>
          <w:color w:val="000000"/>
          <w:lang w:val="uk-UA"/>
        </w:rPr>
      </w:pPr>
    </w:p>
    <w:p w:rsidR="000C33E5" w:rsidRPr="002341E9" w:rsidRDefault="000C33E5" w:rsidP="000C33E5">
      <w:pPr>
        <w:spacing w:after="0"/>
        <w:rPr>
          <w:rFonts w:ascii="Times New Roman" w:eastAsia="SimSun" w:hAnsi="Times New Roman" w:cs="Times New Roman"/>
          <w:color w:val="000000"/>
          <w:lang w:val="uk-UA"/>
        </w:rPr>
      </w:pPr>
    </w:p>
    <w:p w:rsidR="000C33E5" w:rsidRPr="002341E9" w:rsidRDefault="000C33E5" w:rsidP="000C33E5">
      <w:pPr>
        <w:spacing w:after="0"/>
        <w:rPr>
          <w:rFonts w:ascii="Times New Roman" w:eastAsia="SimSun" w:hAnsi="Times New Roman" w:cs="Times New Roman"/>
          <w:color w:val="000000"/>
          <w:lang w:val="uk-UA"/>
        </w:rPr>
      </w:pPr>
    </w:p>
    <w:p w:rsidR="000C33E5" w:rsidRPr="002341E9" w:rsidRDefault="000C33E5" w:rsidP="000C33E5">
      <w:pPr>
        <w:spacing w:after="0"/>
        <w:rPr>
          <w:rFonts w:ascii="Times New Roman" w:eastAsia="SimSun" w:hAnsi="Times New Roman" w:cs="Times New Roman"/>
          <w:color w:val="000000"/>
          <w:lang w:val="uk-UA"/>
        </w:rPr>
      </w:pPr>
    </w:p>
    <w:p w:rsidR="000C33E5" w:rsidRPr="002341E9" w:rsidRDefault="000C33E5" w:rsidP="000C33E5">
      <w:pPr>
        <w:spacing w:after="0"/>
        <w:rPr>
          <w:rFonts w:ascii="Times New Roman" w:eastAsia="SimSun" w:hAnsi="Times New Roman" w:cs="Times New Roman"/>
          <w:color w:val="000000"/>
          <w:lang w:val="uk-UA"/>
        </w:rPr>
      </w:pPr>
    </w:p>
    <w:p w:rsidR="000C33E5" w:rsidRPr="002341E9" w:rsidRDefault="000C33E5" w:rsidP="000C33E5">
      <w:pPr>
        <w:spacing w:after="0"/>
        <w:ind w:firstLineChars="200" w:firstLine="440"/>
        <w:jc w:val="center"/>
        <w:rPr>
          <w:rFonts w:ascii="Times New Roman" w:hAnsi="Times New Roman" w:cs="Times New Roman"/>
          <w:lang w:val="uk-UA"/>
        </w:rPr>
      </w:pPr>
    </w:p>
    <w:p w:rsidR="000C33E5" w:rsidRDefault="000C33E5" w:rsidP="00155D25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hd w:val="clear" w:color="auto" w:fill="FFFFFF"/>
          <w:lang w:val="uk-UA"/>
        </w:rPr>
      </w:pPr>
    </w:p>
    <w:sectPr w:rsidR="000C33E5" w:rsidSect="000C434A">
      <w:headerReference w:type="default" r:id="rId9"/>
      <w:pgSz w:w="11910" w:h="16840"/>
      <w:pgMar w:top="1134" w:right="1134" w:bottom="1134" w:left="1134" w:header="0" w:footer="76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2F7" w:rsidRDefault="005A32F7" w:rsidP="00074EEA">
      <w:pPr>
        <w:spacing w:after="0" w:line="240" w:lineRule="auto"/>
      </w:pPr>
      <w:r>
        <w:separator/>
      </w:r>
    </w:p>
  </w:endnote>
  <w:endnote w:type="continuationSeparator" w:id="0">
    <w:p w:rsidR="005A32F7" w:rsidRDefault="005A32F7" w:rsidP="00074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2F7" w:rsidRDefault="005A32F7" w:rsidP="00074EEA">
      <w:pPr>
        <w:spacing w:after="0" w:line="240" w:lineRule="auto"/>
      </w:pPr>
      <w:r>
        <w:separator/>
      </w:r>
    </w:p>
  </w:footnote>
  <w:footnote w:type="continuationSeparator" w:id="0">
    <w:p w:rsidR="005A32F7" w:rsidRDefault="005A32F7" w:rsidP="00074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9BE" w:rsidRPr="002E1557" w:rsidRDefault="002B79BE" w:rsidP="002B79BE">
    <w:pPr>
      <w:pStyle w:val="a3"/>
      <w:jc w:val="center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</w:rPr>
      <w:t>А</w:t>
    </w:r>
    <w:proofErr w:type="spellStart"/>
    <w:r w:rsidRPr="002B79BE">
      <w:rPr>
        <w:rFonts w:ascii="Times New Roman" w:hAnsi="Times New Roman" w:cs="Times New Roman"/>
        <w:lang w:val="en-US"/>
      </w:rPr>
      <w:t>grarian</w:t>
    </w:r>
    <w:proofErr w:type="spellEnd"/>
    <w:r w:rsidRPr="002B79BE">
      <w:rPr>
        <w:rFonts w:ascii="Times New Roman" w:hAnsi="Times New Roman" w:cs="Times New Roman"/>
        <w:lang w:val="en-US"/>
      </w:rPr>
      <w:t xml:space="preserve"> Bulletin Black Sea Littoral. </w:t>
    </w:r>
    <w:r w:rsidR="002E1557">
      <w:rPr>
        <w:rFonts w:ascii="Times New Roman" w:hAnsi="Times New Roman" w:cs="Times New Roman"/>
        <w:lang w:val="en-US"/>
      </w:rPr>
      <w:t>2024, Issue 110</w:t>
    </w:r>
  </w:p>
  <w:p w:rsidR="00074EEA" w:rsidRPr="002B79BE" w:rsidRDefault="00074EEA" w:rsidP="002B79B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DAE0960"/>
    <w:multiLevelType w:val="singleLevel"/>
    <w:tmpl w:val="8DAE096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  <w:sz w:val="24"/>
        <w:szCs w:val="24"/>
      </w:rPr>
    </w:lvl>
  </w:abstractNum>
  <w:abstractNum w:abstractNumId="1" w15:restartNumberingAfterBreak="0">
    <w:nsid w:val="1A612A48"/>
    <w:multiLevelType w:val="hybridMultilevel"/>
    <w:tmpl w:val="837EFB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4660D"/>
    <w:multiLevelType w:val="hybridMultilevel"/>
    <w:tmpl w:val="9F58806C"/>
    <w:lvl w:ilvl="0" w:tplc="47C019B6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40"/>
    <w:rsid w:val="00041468"/>
    <w:rsid w:val="00074EEA"/>
    <w:rsid w:val="000C33E5"/>
    <w:rsid w:val="000C434A"/>
    <w:rsid w:val="000C54D8"/>
    <w:rsid w:val="00111D26"/>
    <w:rsid w:val="00155D25"/>
    <w:rsid w:val="001C3E27"/>
    <w:rsid w:val="002347E1"/>
    <w:rsid w:val="002B79BE"/>
    <w:rsid w:val="002E1557"/>
    <w:rsid w:val="00322B4C"/>
    <w:rsid w:val="0037075C"/>
    <w:rsid w:val="00377736"/>
    <w:rsid w:val="00564BCC"/>
    <w:rsid w:val="005A32F7"/>
    <w:rsid w:val="00664FFC"/>
    <w:rsid w:val="006D3F8F"/>
    <w:rsid w:val="007D0C39"/>
    <w:rsid w:val="00860E79"/>
    <w:rsid w:val="00904997"/>
    <w:rsid w:val="009A4E40"/>
    <w:rsid w:val="00A332A7"/>
    <w:rsid w:val="00A33913"/>
    <w:rsid w:val="00A8052B"/>
    <w:rsid w:val="00A87FA4"/>
    <w:rsid w:val="00B37A81"/>
    <w:rsid w:val="00CC2F87"/>
    <w:rsid w:val="00E63A33"/>
    <w:rsid w:val="00E74A22"/>
    <w:rsid w:val="00E81580"/>
    <w:rsid w:val="00EB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E9BF9-831E-4D2D-B214-2D38AF48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EEA"/>
  </w:style>
  <w:style w:type="paragraph" w:styleId="a5">
    <w:name w:val="footer"/>
    <w:basedOn w:val="a"/>
    <w:link w:val="a6"/>
    <w:uiPriority w:val="99"/>
    <w:unhideWhenUsed/>
    <w:rsid w:val="00074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EEA"/>
  </w:style>
  <w:style w:type="paragraph" w:customStyle="1" w:styleId="1">
    <w:name w:val="Обычный1"/>
    <w:rsid w:val="00564BCC"/>
    <w:pPr>
      <w:widowControl w:val="0"/>
      <w:spacing w:after="260" w:line="300" w:lineRule="auto"/>
      <w:ind w:left="1280" w:right="220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styleId="a7">
    <w:name w:val="Hyperlink"/>
    <w:basedOn w:val="a0"/>
    <w:uiPriority w:val="99"/>
    <w:unhideWhenUsed/>
    <w:rsid w:val="00155D25"/>
    <w:rPr>
      <w:color w:val="0563C1" w:themeColor="hyperlink"/>
      <w:u w:val="single"/>
    </w:rPr>
  </w:style>
  <w:style w:type="paragraph" w:styleId="a8">
    <w:name w:val="No Spacing"/>
    <w:uiPriority w:val="1"/>
    <w:qFormat/>
    <w:rsid w:val="00155D25"/>
    <w:pPr>
      <w:spacing w:after="0" w:line="240" w:lineRule="auto"/>
    </w:pPr>
    <w:rPr>
      <w:lang w:eastAsia="en-US"/>
    </w:rPr>
  </w:style>
  <w:style w:type="character" w:styleId="a9">
    <w:name w:val="Emphasis"/>
    <w:basedOn w:val="a0"/>
    <w:uiPriority w:val="20"/>
    <w:qFormat/>
    <w:rsid w:val="00155D25"/>
    <w:rPr>
      <w:i/>
      <w:iCs/>
    </w:rPr>
  </w:style>
  <w:style w:type="paragraph" w:styleId="aa">
    <w:name w:val="List Paragraph"/>
    <w:basedOn w:val="a"/>
    <w:uiPriority w:val="34"/>
    <w:qFormat/>
    <w:rsid w:val="00155D25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o.btu.kharkov.ua/handle/123456789/316.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lletin-biosafety.com/index.php/journal/article/view/176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1078</Words>
  <Characters>6148</Characters>
  <Application>Microsoft Office Word</Application>
  <DocSecurity>0</DocSecurity>
  <Lines>51</Lines>
  <Paragraphs>14</Paragraphs>
  <ScaleCrop>false</ScaleCrop>
  <Company/>
  <LinksUpToDate>false</LinksUpToDate>
  <CharactersWithSpaces>7212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Пользователь</cp:lastModifiedBy>
  <cp:revision>19</cp:revision>
  <dcterms:created xsi:type="dcterms:W3CDTF">2023-03-26T14:30:00Z</dcterms:created>
  <dcterms:modified xsi:type="dcterms:W3CDTF">2025-02-21T17:11:00Z</dcterms:modified>
</cp:coreProperties>
</file>